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Abbes/ Touhami; Kamel/ </w:t>
            </w:r>
          </w:p>
        </w:tc>
      </w:tr>
      <w:tr>
        <w:trPr>
          <w:trHeight w:val="567"/>
        </w:trPr>
        <w:tc>
          <w:tcPr>
            <w:tcW w:type="dxa" w:w="3000"/>
          </w:tcPr>
          <w:p>
            <w:r>
              <w:t>Adresse bib.</w:t>
            </w:r>
          </w:p>
        </w:tc>
        <w:tc>
          <w:tcPr>
            <w:tcW w:type="dxa" w:w="7000"/>
          </w:tcPr>
          <w:p>
            <w:r>
              <w:t xml:space="preserve">Publication de L'Université Badji Mokhtar-Annaba/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9789961899328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Cet ouvrage s'adresse particulièrement aux étudiants du P.C.E.M., de Pharmacie, des DEUG A et B et des I.U.T. qui étudient la chimie organique. Chaque chapitre contient un rappel de cours, mettant l'accent sur la réactivité des composés organiques, ainsi que sur les mécanismes réactionnels étudiés à ce niveau. L'originalité de l'ouvrage provient du fait que les exercices corrigés présentés sont des extraits choisis uniquement parmi les sujets des concours des C.H.U. et des Facultés de Pharmacie de la Région parisienne.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