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Droit de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Kaufman, Gautier/ Forest, David/ </w:t>
            </w:r>
          </w:p>
        </w:tc>
      </w:tr>
      <w:tr>
        <w:trPr>
          <w:trHeight w:val="567"/>
        </w:trPr>
        <w:tc>
          <w:tcPr>
            <w:tcW w:type="dxa" w:w="3000"/>
          </w:tcPr>
          <w:p>
            <w:r>
              <w:t>Adresse bib.</w:t>
            </w:r>
          </w:p>
        </w:tc>
        <w:tc>
          <w:tcPr>
            <w:tcW w:type="dxa" w:w="7000"/>
          </w:tcPr>
          <w:p>
            <w:r>
              <w:t xml:space="preserve">Gualino/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x 17 cm</w:t>
            </w:r>
          </w:p>
        </w:tc>
      </w:tr>
      <w:tr>
        <w:trPr>
          <w:trHeight w:val="567"/>
        </w:trPr>
        <w:tc>
          <w:tcPr>
            <w:tcW w:type="dxa" w:w="3000"/>
          </w:tcPr>
          <w:p>
            <w:r>
              <w:t>Collection</w:t>
            </w:r>
          </w:p>
        </w:tc>
        <w:tc>
          <w:tcPr>
            <w:tcW w:type="dxa" w:w="7000"/>
          </w:tcPr>
          <w:p>
            <w:r>
              <w:t>Droit en action(N°:None)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9782297013048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droit/ </w:t>
            </w:r>
          </w:p>
        </w:tc>
      </w:tr>
    </w:tbl>
    <w:p>
      <w:pPr>
        <w:pStyle w:val="Heading3"/>
      </w:pPr>
      <w:r>
        <w:t>Résumé :</w:t>
      </w:r>
    </w:p>
    <w:p>
      <w:r>
        <w:t>Un panorama des principaux aspects du droit de l'informatique, de la protection juridique des logiciels jusqu'à celle des bases de données ou des oeuvres multimédias en passant par le contentieux informatique et la cybersurveillance.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