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Bilans matière et énergétique pour l'ingénierie chimique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Ghasem; Nayef/ Henda; Redhouane/ Lafond, Vincent/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XXI-377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de l'ingénieur. Série chimie organique(N°:None)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371-377  Annexe p.p. 345-369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9782804165673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génie chimique/ </w:t>
            </w:r>
          </w:p>
        </w:tc>
      </w:tr>
    </w:tbl>
    <w:p>
      <w:pPr>
        <w:pStyle w:val="Heading3"/>
      </w:pPr>
      <w:r>
        <w:t>Résumé :</w:t>
      </w:r>
    </w:p>
    <w:p>
      <w:r>
        <w:t>Ce thème aborde les principes de base du génie chimique : grandeurs manipulées dans cette discipline, opérations unitaires (mélange, séparation, réaction, etc.), calcul des degrés de libertés associés. Avec des exercices corrigés. Le CD-ROM joint propose un résumé en anglais de chaque chapitre, des exercices et des logiciels de simulation et de calcul adaptés.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