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Maurice-Bernard/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2840540479</w:t>
            </w:r>
          </w:p>
        </w:tc>
      </w:tr>
      <w:tr>
        <w:trPr>
          <w:trHeight w:val="567"/>
        </w:trPr>
        <w:tc>
          <w:tcPr>
            <w:tcW w:type="dxa" w:w="3000"/>
          </w:tcPr>
          <w:p>
            <w:r>
              <w:t>Sujet(s)</w:t>
            </w:r>
          </w:p>
        </w:tc>
        <w:tc>
          <w:tcPr>
            <w:tcW w:type="dxa" w:w="7000"/>
          </w:tcPr>
          <w:p>
            <w:r>
              <w:t xml:space="preserve">équilibre chimique/ </w:t>
            </w:r>
          </w:p>
        </w:tc>
      </w:tr>
    </w:tbl>
    <w:p>
      <w:pPr>
        <w:pStyle w:val="Heading3"/>
      </w:pPr>
      <w:r>
        <w:t>Résumé :</w:t>
      </w:r>
    </w:p>
    <w:p>
      <w:r>
        <w:t>Ce cours est enseigné en deuxième année d'études pharmaceutiques, aux BTS, IUT et DEUG de sciences. Il comprend : les principes et les mécanismes de la dissociation des électrolytes et du déplacement des équilibres, en solution aqueuse ou non, puis les différents types d'électrode, les piles, la prévision des réactions.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