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Pratique de la simulation numérique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Saïac; Jacques-Hervé/ Mohammadi; Bijan/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XII-419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Technique et ingénierie(N°:None)</w:t>
            </w:r>
          </w:p>
        </w:tc>
      </w:tr>
      <w:tr>
        <w:trPr>
          <w:trHeight w:val="567"/>
        </w:trPr>
        <w:tc>
          <w:tcPr>
            <w:tcW w:type="dxa" w:w="3000"/>
          </w:tcPr>
          <w:p>
            <w:r>
              <w:t>Numéro d'Identification</w:t>
            </w:r>
          </w:p>
        </w:tc>
        <w:tc>
          <w:tcPr>
            <w:tcW w:type="dxa" w:w="7000"/>
          </w:tcPr>
          <w:p>
            <w:r>
              <w:t>210006407X</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numerique/ simulation par ordinateur/ conception assistée par ordinateur/ </w:t>
            </w:r>
          </w:p>
        </w:tc>
      </w:tr>
    </w:tbl>
    <w:p>
      <w:pPr>
        <w:pStyle w:val="Heading3"/>
      </w:pPr>
      <w:r>
        <w:t>Résumé :</w:t>
      </w:r>
    </w:p>
    <w:p>
      <w:r>
        <w:t>On expose toutes les méthodes numériques classiques existantes, leurs champs d'application et leurs limites. Dans une seconde partie, on va plus loin en traitant des techniques d'optimisation de formes et de simulation des systèmes complexes.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