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Analyse L1</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Adresse bib.</w:t>
            </w:r>
          </w:p>
        </w:tc>
        <w:tc>
          <w:tcPr>
            <w:tcW w:type="dxa" w:w="7000"/>
          </w:tcPr>
          <w:p>
            <w:r>
              <w:t xml:space="preserve">Ed. Archétype 82/ </w:t>
            </w:r>
          </w:p>
        </w:tc>
      </w:tr>
      <w:tr>
        <w:trPr>
          <w:trHeight w:val="567"/>
        </w:trPr>
        <w:tc>
          <w:tcPr>
            <w:tcW w:type="dxa" w:w="3000"/>
          </w:tcPr>
          <w:p>
            <w:r>
              <w:t>Nombre de Pages</w:t>
            </w:r>
          </w:p>
        </w:tc>
        <w:tc>
          <w:tcPr>
            <w:tcW w:type="dxa" w:w="7000"/>
          </w:tcPr>
          <w:p>
            <w:r>
              <w:t>153 p.</w:t>
            </w:r>
          </w:p>
        </w:tc>
      </w:tr>
      <w:tr>
        <w:trPr>
          <w:trHeight w:val="567"/>
        </w:trPr>
        <w:tc>
          <w:tcPr>
            <w:tcW w:type="dxa" w:w="3000"/>
          </w:tcPr>
          <w:p>
            <w:r>
              <w:t>Illustration</w:t>
            </w:r>
          </w:p>
        </w:tc>
        <w:tc>
          <w:tcPr>
            <w:tcW w:type="dxa" w:w="7000"/>
          </w:tcPr>
          <w:p>
            <w:r>
              <w:t>ill., couv. en coul.</w:t>
            </w:r>
          </w:p>
        </w:tc>
      </w:tr>
      <w:tr>
        <w:trPr>
          <w:trHeight w:val="567"/>
        </w:trPr>
        <w:tc>
          <w:tcPr>
            <w:tcW w:type="dxa" w:w="3000"/>
          </w:tcPr>
          <w:p>
            <w:r>
              <w:t>Format</w:t>
            </w:r>
          </w:p>
        </w:tc>
        <w:tc>
          <w:tcPr>
            <w:tcW w:type="dxa" w:w="7000"/>
          </w:tcPr>
          <w:p>
            <w:r>
              <w:t>23 cm</w:t>
            </w:r>
          </w:p>
        </w:tc>
      </w:tr>
      <w:tr>
        <w:trPr>
          <w:trHeight w:val="567"/>
        </w:trPr>
        <w:tc>
          <w:tcPr>
            <w:tcW w:type="dxa" w:w="3000"/>
          </w:tcPr>
          <w:p>
            <w:r>
              <w:t>Collection</w:t>
            </w:r>
          </w:p>
        </w:tc>
        <w:tc>
          <w:tcPr>
            <w:tcW w:type="dxa" w:w="7000"/>
          </w:tcPr>
          <w:p>
            <w:r>
              <w:t>Les cours de droit, éco, gestion(N°:None)</w:t>
            </w:r>
          </w:p>
        </w:tc>
      </w:tr>
      <w:tr>
        <w:trPr>
          <w:trHeight w:val="567"/>
        </w:trPr>
        <w:tc>
          <w:tcPr>
            <w:tcW w:type="dxa" w:w="3000"/>
          </w:tcPr>
          <w:p>
            <w:r>
              <w:t>Numéro d'Identification</w:t>
            </w:r>
          </w:p>
        </w:tc>
        <w:tc>
          <w:tcPr>
            <w:tcW w:type="dxa" w:w="7000"/>
          </w:tcPr>
          <w:p>
            <w:r>
              <w:t>9782363410979</w:t>
            </w:r>
          </w:p>
        </w:tc>
      </w:tr>
      <w:tr>
        <w:trPr>
          <w:trHeight w:val="567"/>
        </w:trPr>
        <w:tc>
          <w:tcPr>
            <w:tcW w:type="dxa" w:w="3000"/>
          </w:tcPr>
          <w:p>
            <w:r>
              <w:t>Sujet(s)</w:t>
            </w:r>
          </w:p>
        </w:tc>
        <w:tc>
          <w:tcPr>
            <w:tcW w:type="dxa" w:w="7000"/>
          </w:tcPr>
          <w:p>
            <w:r>
              <w:t xml:space="preserve">mathématique/ analyse/ </w:t>
            </w:r>
          </w:p>
        </w:tc>
      </w:tr>
    </w:tbl>
    <w:p>
      <w:pPr>
        <w:pStyle w:val="Heading3"/>
      </w:pPr>
      <w:r>
        <w:t>Résumé :</w:t>
      </w:r>
    </w:p>
    <w:p>
      <w:r>
        <w:t>L'étudiant en gestion devra tout au long de ses études utiliser des outils mathématiques, dans des disciplines très variées telles que la microéconomie, la macroéconomie, la finance, le marketing ou encore les ressources humaines. Il doit être en mesure de produire, d'utiliser et de commenter des résultats mathématiques, de les comprendre et de les interpréter. Dans cette optique, ce manuel lui fournit les outils indispensables à la suite de ses études, il se veut donc ni trop théorique et abstrait, ni trop pratique.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