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Germain; Gérard/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QCM(N°:None)</w:t>
            </w:r>
          </w:p>
        </w:tc>
      </w:tr>
      <w:tr>
        <w:trPr>
          <w:trHeight w:val="567"/>
        </w:trPr>
        <w:tc>
          <w:tcPr>
            <w:tcW w:type="dxa" w:w="3000"/>
          </w:tcPr>
          <w:p>
            <w:r>
              <w:t>Numéro d'Identification</w:t>
            </w:r>
          </w:p>
        </w:tc>
        <w:tc>
          <w:tcPr>
            <w:tcW w:type="dxa" w:w="7000"/>
          </w:tcPr>
          <w:p>
            <w:r>
              <w:t>9782294007941</w:t>
            </w:r>
          </w:p>
        </w:tc>
      </w:tr>
      <w:tr>
        <w:trPr>
          <w:trHeight w:val="567"/>
        </w:trPr>
        <w:tc>
          <w:tcPr>
            <w:tcW w:type="dxa" w:w="3000"/>
          </w:tcPr>
          <w:p>
            <w:r>
              <w:t>Sujet(s)</w:t>
            </w:r>
          </w:p>
        </w:tc>
        <w:tc>
          <w:tcPr>
            <w:tcW w:type="dxa" w:w="7000"/>
          </w:tcPr>
          <w:p>
            <w:r>
              <w:t xml:space="preserve">thermodynamique/ équilibre chimique/ cinétique chimique/ </w:t>
            </w:r>
          </w:p>
        </w:tc>
      </w:tr>
    </w:tbl>
    <w:p>
      <w:pPr>
        <w:pStyle w:val="Heading3"/>
      </w:pPr>
      <w:r>
        <w:t>Résumé :</w:t>
      </w:r>
    </w:p>
    <w:p>
      <w:r>
        <w:t>Propose des QCM et exercices classés selon le chapitrage utilisé dans l'abrégé de cours correspondant. La partie QCM permet une autoévaluation rapide, accompagnée de brefs commentaires. Une autre partie d'exercices permet de tester ses connaissances de manière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