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Gruger;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 xml:space="preserve">Index </w:t>
            </w:r>
          </w:p>
        </w:tc>
      </w:tr>
      <w:tr>
        <w:trPr>
          <w:trHeight w:val="567"/>
        </w:trPr>
        <w:tc>
          <w:tcPr>
            <w:tcW w:type="dxa" w:w="3000"/>
          </w:tcPr>
          <w:p>
            <w:r>
              <w:t>Numéro d'Identification</w:t>
            </w:r>
          </w:p>
        </w:tc>
        <w:tc>
          <w:tcPr>
            <w:tcW w:type="dxa" w:w="7000"/>
          </w:tcPr>
          <w:p>
            <w:r>
              <w:t>210005516X</w:t>
            </w:r>
          </w:p>
        </w:tc>
      </w:tr>
      <w:tr>
        <w:trPr>
          <w:trHeight w:val="567"/>
        </w:trPr>
        <w:tc>
          <w:tcPr>
            <w:tcW w:type="dxa" w:w="3000"/>
          </w:tcPr>
          <w:p>
            <w:r>
              <w:t>Sujet(s)</w:t>
            </w:r>
          </w:p>
        </w:tc>
        <w:tc>
          <w:tcPr>
            <w:tcW w:type="dxa" w:w="7000"/>
          </w:tcPr>
          <w:p>
            <w:r>
              <w:t xml:space="preserve">thermodynamique chimique/ </w:t>
            </w:r>
          </w:p>
        </w:tc>
      </w:tr>
    </w:tbl>
    <w:p>
      <w:pPr>
        <w:pStyle w:val="Heading3"/>
      </w:pPr>
      <w:r>
        <w:t>Résumé :</w:t>
      </w:r>
    </w:p>
    <w:p>
      <w:r>
        <w:t>C'est un manuel destiné aux étudiants en Licence (SV et SM) et au PCEM. Il s'articule autour de la notion d'équation bilan, caractérisée par des grandeurs standard. Chaque nouvelle notion est illustrée par un exercice d'application. Un résumé de ce qu'il faut retenir, des exercices et des problèmes résolus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