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Compilation des langages de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Gautier, Martine/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p.p.314-317</w:t>
            </w:r>
          </w:p>
        </w:tc>
      </w:tr>
      <w:tr>
        <w:trPr>
          <w:trHeight w:val="567"/>
        </w:trPr>
        <w:tc>
          <w:tcPr>
            <w:tcW w:type="dxa" w:w="3000"/>
          </w:tcPr>
          <w:p>
            <w:r>
              <w:t>Numéro d'Identification</w:t>
            </w:r>
          </w:p>
        </w:tc>
        <w:tc>
          <w:tcPr>
            <w:tcW w:type="dxa" w:w="7000"/>
          </w:tcPr>
          <w:p>
            <w:r>
              <w:t>2729826203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compilation/ syntaxe/ </w:t>
            </w:r>
          </w:p>
        </w:tc>
      </w:tr>
    </w:tbl>
    <w:p>
      <w:pPr>
        <w:pStyle w:val="Heading3"/>
      </w:pPr>
      <w:r>
        <w:t>Résumé :</w:t>
      </w:r>
    </w:p>
    <w:p>
      <w:r>
        <w:t>L'ouvrage est structuré en deux parties principalesComprendre le rôle d'un compilateur Cette section explore la syntaxe et la sémantique des constructions des langages de programmation usuels, en mettant l'accent sur la définition de modèles de traduction pour des machines virtuelles Java ou des processeurs classiques.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