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Regourd;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p.p.239-246</w:t>
            </w:r>
          </w:p>
        </w:tc>
      </w:tr>
      <w:tr>
        <w:trPr>
          <w:trHeight w:val="567"/>
        </w:trPr>
        <w:tc>
          <w:tcPr>
            <w:tcW w:type="dxa" w:w="3000"/>
          </w:tcPr>
          <w:p>
            <w:r>
              <w:t>Numéro d'Identification</w:t>
            </w:r>
          </w:p>
        </w:tc>
        <w:tc>
          <w:tcPr>
            <w:tcW w:type="dxa" w:w="7000"/>
          </w:tcPr>
          <w:p>
            <w:r>
              <w:t>2100491458</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Cet ouvrage constitue une base de référence pour vous initier au monde Java. Forts de leur expérience d'enseignants, les deux auteurs traitent les fonctionnalités de ce langage de façon didactique, suivant une progression logique. L'ensemble des possibilités offertes par Java est ainsi couvert : du modèle objet à l'environnement de programmation, des processus aux entrées-sorties, des API aux exceptions, de la généricité au graphisme : chaque notion est appuyée par un ou plusieurs exemples et cas pratiques. Aucune connaissance en Java n'est pré-requise.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