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Regourd, Jean-Pierre/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p.p.239-246</w:t>
            </w:r>
          </w:p>
        </w:tc>
      </w:tr>
      <w:tr>
        <w:trPr>
          <w:trHeight w:val="567"/>
        </w:trPr>
        <w:tc>
          <w:tcPr>
            <w:tcW w:type="dxa" w:w="3000"/>
          </w:tcPr>
          <w:p>
            <w:r>
              <w:t>Numéro d'Identification</w:t>
            </w:r>
          </w:p>
        </w:tc>
        <w:tc>
          <w:tcPr>
            <w:tcW w:type="dxa" w:w="7000"/>
          </w:tcPr>
          <w:p>
            <w:r>
              <w:t>2100491458</w:t>
            </w:r>
          </w:p>
        </w:tc>
      </w:tr>
      <w:tr>
        <w:trPr>
          <w:trHeight w:val="567"/>
        </w:trPr>
        <w:tc>
          <w:tcPr>
            <w:tcW w:type="dxa" w:w="3000"/>
          </w:tcPr>
          <w:p>
            <w:r>
              <w:t>Sujet(s)</w:t>
            </w:r>
          </w:p>
        </w:tc>
        <w:tc>
          <w:tcPr>
            <w:tcW w:type="dxa" w:w="7000"/>
          </w:tcPr>
          <w:p>
            <w:r>
              <w:t xml:space="preserve">Java (langage de programmation)/ </w:t>
            </w:r>
          </w:p>
        </w:tc>
      </w:tr>
    </w:tbl>
    <w:p>
      <w:pPr>
        <w:pStyle w:val="Heading3"/>
      </w:pPr>
      <w:r>
        <w:t>Résumé :</w:t>
      </w:r>
    </w:p>
    <w:p>
      <w:r>
        <w:t>Cet ouvrage constitue une base de référence pour vous initier au monde Java. Forts de leur expérience d'enseignants, les deux auteurs traitent les fonctionnalités de ce langage de façon didactique, suivant une progression logique. L'ensemble des possibilités offertes par Java est ainsi couvert : du modèle objet à l'environnement de programmation, des processus aux entrées-sorties, des API aux exceptions, de la généricité au graphisme : chaque notion est appuyée par un ou plusieurs exemples et cas pratiques. Aucune connaissance en Java n'est pré-requise.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