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et théore des nombres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Koulikov,L/ </w:t>
            </w:r>
          </w:p>
        </w:tc>
      </w:tr>
      <w:tr>
        <w:trPr>
          <w:trHeight w:val="567"/>
        </w:trPr>
        <w:tc>
          <w:tcPr>
            <w:tcW w:type="dxa" w:w="3000"/>
          </w:tcPr>
          <w:p>
            <w:r>
              <w:t>Adresse bib.</w:t>
            </w:r>
          </w:p>
        </w:tc>
        <w:tc>
          <w:tcPr>
            <w:tcW w:type="dxa" w:w="7000"/>
          </w:tcPr>
          <w:p>
            <w:r>
              <w:t xml:space="preserve">Mir/ </w:t>
            </w:r>
          </w:p>
        </w:tc>
      </w:tr>
      <w:tr>
        <w:trPr>
          <w:trHeight w:val="567"/>
        </w:trPr>
        <w:tc>
          <w:tcPr>
            <w:tcW w:type="dxa" w:w="3000"/>
          </w:tcPr>
          <w:p>
            <w:r>
              <w:t>Nombre de Pages</w:t>
            </w:r>
          </w:p>
        </w:tc>
        <w:tc>
          <w:tcPr>
            <w:tcW w:type="dxa" w:w="7000"/>
          </w:tcPr>
          <w:p>
            <w:r>
              <w:t>503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Index p-p 497-500</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fonction/ relation d'équivalence/ </w:t>
            </w:r>
          </w:p>
        </w:tc>
      </w:tr>
    </w:tbl>
    <w:p>
      <w:pPr>
        <w:pStyle w:val="Heading3"/>
      </w:pPr>
      <w:r>
        <w:t>Résumé :</w:t>
      </w:r>
    </w:p>
    <w:p>
      <w:r>
        <w:t>L'ouvrage est structuré en trois parties principales :</w:t>
        <w:br/>
        <w:br/>
        <w:t>- Logique, ensembles et systèmes numériques de base : Cette section couvre les éléments de logique, les concepts liés aux ensembles et aux relations, ainsi que des notions préliminaires sur les algèbres et les systèmes algébriques. Elle aborde également les systèmes numériques fondamentaux tels que les nombres naturels, les entiers, les rationnels, les réels et les complexes.</w:t>
        <w:br/>
        <w:br/>
        <w:t>- Algèbre linéaire : Les chapitres V à IX se concentrent sur les espaces vectoriels et les systèmes d'équations linéaires, en introduisant les déterminants comme outil pour résoudre ces systèmes. Cette approche facilite l'intégration de la théorie des espaces vectoriels et des systèmes d'équations linéaires.</w:t>
        <w:br/>
        <w:br/>
        <w:t>- Groupes, anneaux et polynômes : La dernière partie traite des groupes, des anneaux et des anneaux de polynômes, en explorant les anneaux associés aux corps numériques de base et en introduisant les éléments fondamentaux de la théorie des corps.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