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signature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Fausse, Arnaud-François/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Informatique &amp; entreprise(N°:None)</w:t>
            </w:r>
          </w:p>
        </w:tc>
      </w:tr>
      <w:tr>
        <w:trPr>
          <w:trHeight w:val="567"/>
        </w:trPr>
        <w:tc>
          <w:tcPr>
            <w:tcW w:type="dxa" w:w="3000"/>
          </w:tcPr>
          <w:p>
            <w:r>
              <w:t>Notes Générales</w:t>
            </w:r>
          </w:p>
        </w:tc>
        <w:tc>
          <w:tcPr>
            <w:tcW w:type="dxa" w:w="7000"/>
          </w:tcPr>
          <w:p>
            <w:r>
              <w:t>Bibliogr.p.p. 387-392. Index p.p. 396-400</w:t>
            </w:r>
          </w:p>
        </w:tc>
      </w:tr>
      <w:tr>
        <w:trPr>
          <w:trHeight w:val="567"/>
        </w:trPr>
        <w:tc>
          <w:tcPr>
            <w:tcW w:type="dxa" w:w="3000"/>
          </w:tcPr>
          <w:p>
            <w:r>
              <w:t>Numéro d'Identification</w:t>
            </w:r>
          </w:p>
        </w:tc>
        <w:tc>
          <w:tcPr>
            <w:tcW w:type="dxa" w:w="7000"/>
          </w:tcPr>
          <w:p>
            <w:r>
              <w:t>2100052942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méthodologie/ Infrastructure réseau/ </w:t>
            </w:r>
          </w:p>
        </w:tc>
      </w:tr>
    </w:tbl>
    <w:p>
      <w:pPr>
        <w:pStyle w:val="Heading3"/>
      </w:pPr>
      <w:r>
        <w:t>Résumé :</w:t>
      </w:r>
    </w:p>
    <w:p>
      <w:r>
        <w:t>La signature électronique est un mécanisme permettant de vérifier l'authenticité et l'intégrité d'un document numérique, assurant ainsi que le contenu n'a pas été altéré et que l'identité du signataire est confirmée. Elle repose généralement sur des techniques de cryptographie asymétrique, utilisant une paire de clés publique et privée. Ce procédé garantit que le document signé ne peut être modifié sans invalider la signature, assurant ainsi sa fiabilité.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