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maitrise du calcul en mécanique linéaire et non-linéaire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Pelle, Jean-Pierre/ Ladevèze,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2746202778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équation linéaire/ équation non linéaire/ théorie du calcul/ </w:t>
            </w:r>
          </w:p>
        </w:tc>
      </w:tr>
    </w:tbl>
    <w:p>
      <w:pPr>
        <w:pStyle w:val="Heading3"/>
      </w:pPr>
      <w:r>
        <w:t>Résumé :</w:t>
      </w:r>
    </w:p>
    <w:p>
      <w:r>
        <w:t>Traite de la maitrise des hypothèses de passage d'un modèle mécanique à un modèle numérique ;  les modèles étudiés peuvent présenter de fortes non-linéarités (plasticité, viscoplasticité, contact unilatéral). La finalité en calcul des structures est de simuler numériquement le comportement d'une structure soumise à diverses sollicitations et d'évaluer l'état d'endommagement de la structure.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