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Internet-intranet et bases de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Gardarin; Georges/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245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241-246</w:t>
            </w:r>
          </w:p>
        </w:tc>
      </w:tr>
      <w:tr>
        <w:trPr>
          <w:trHeight w:val="567"/>
        </w:trPr>
        <w:tc>
          <w:tcPr>
            <w:tcW w:type="dxa" w:w="3000"/>
          </w:tcPr>
          <w:p>
            <w:r>
              <w:t>Numéro d'Identification</w:t>
            </w:r>
          </w:p>
        </w:tc>
        <w:tc>
          <w:tcPr>
            <w:tcW w:type="dxa" w:w="7000"/>
          </w:tcPr>
          <w:p>
            <w:r>
              <w:t>2212090692</w:t>
            </w:r>
          </w:p>
        </w:tc>
      </w:tr>
      <w:tr>
        <w:trPr>
          <w:trHeight w:val="567"/>
        </w:trPr>
        <w:tc>
          <w:tcPr>
            <w:tcW w:type="dxa" w:w="3000"/>
          </w:tcPr>
          <w:p>
            <w:r>
              <w:t>Sujet(s)</w:t>
            </w:r>
          </w:p>
        </w:tc>
        <w:tc>
          <w:tcPr>
            <w:tcW w:type="dxa" w:w="7000"/>
          </w:tcPr>
          <w:p>
            <w:r>
              <w:t xml:space="preserve">base de données/ internet/ intranet/ </w:t>
            </w:r>
          </w:p>
        </w:tc>
      </w:tr>
    </w:tbl>
    <w:p>
      <w:pPr>
        <w:pStyle w:val="Heading3"/>
      </w:pPr>
      <w:r>
        <w:t>Résumé :</w:t>
      </w:r>
    </w:p>
    <w:p>
      <w:r>
        <w:t>Cet ouvrage fait le point sur ces nouvelles technologies qui donnent naissance, aux Etats-Unis ainsi qu'en Europe, à de nombreuses entreprises. Celles-ci sont centrées autour de nouveaux concepts souvent appelés les data... Data web pour le couplage d'Internet aux bases de données dans les architectures deux ou trois tiers, notamment avec CGI, HTML dynamique et maintenant XML. Data média (ou multimédia) pour gérer et retrouver les données multimédias comme l'image, le son, les films sur Internet dans de grandes bases de données.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