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Topologie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Lipschutz, Seymour/ Lobenberg, Michel/ </w:t>
            </w:r>
          </w:p>
        </w:tc>
      </w:tr>
      <w:tr>
        <w:trPr>
          <w:trHeight w:val="567"/>
        </w:trPr>
        <w:tc>
          <w:tcPr>
            <w:tcW w:type="dxa" w:w="3000"/>
          </w:tcPr>
          <w:p>
            <w:r>
              <w:t>Adresse bib.</w:t>
            </w:r>
          </w:p>
        </w:tc>
        <w:tc>
          <w:tcPr>
            <w:tcW w:type="dxa" w:w="7000"/>
          </w:tcPr>
          <w:p>
            <w:r>
              <w:t xml:space="preserve">McGraw-Hill/ </w:t>
            </w:r>
          </w:p>
        </w:tc>
      </w:tr>
      <w:tr>
        <w:trPr>
          <w:trHeight w:val="567"/>
        </w:trPr>
        <w:tc>
          <w:tcPr>
            <w:tcW w:type="dxa" w:w="3000"/>
          </w:tcPr>
          <w:p>
            <w:r>
              <w:t>Nombre de Pages</w:t>
            </w:r>
          </w:p>
        </w:tc>
        <w:tc>
          <w:tcPr>
            <w:tcW w:type="dxa" w:w="7000"/>
          </w:tcPr>
          <w:p>
            <w:r>
              <w:t>259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Série Schaum(N°:None)</w:t>
            </w:r>
          </w:p>
        </w:tc>
      </w:tr>
      <w:tr>
        <w:trPr>
          <w:trHeight w:val="567"/>
        </w:trPr>
        <w:tc>
          <w:tcPr>
            <w:tcW w:type="dxa" w:w="3000"/>
          </w:tcPr>
          <w:p>
            <w:r>
              <w:t>Notes Générales</w:t>
            </w:r>
          </w:p>
        </w:tc>
        <w:tc>
          <w:tcPr>
            <w:tcW w:type="dxa" w:w="7000"/>
          </w:tcPr>
          <w:p>
            <w:r>
              <w:t>Index.p.p. 256-259</w:t>
            </w:r>
          </w:p>
        </w:tc>
      </w:tr>
      <w:tr>
        <w:trPr>
          <w:trHeight w:val="567"/>
        </w:trPr>
        <w:tc>
          <w:tcPr>
            <w:tcW w:type="dxa" w:w="3000"/>
          </w:tcPr>
          <w:p>
            <w:r>
              <w:t>Numéro d'Identification</w:t>
            </w:r>
          </w:p>
        </w:tc>
        <w:tc>
          <w:tcPr>
            <w:tcW w:type="dxa" w:w="7000"/>
          </w:tcPr>
          <w:p>
            <w:r>
              <w:t>270421025X</w:t>
            </w:r>
          </w:p>
        </w:tc>
      </w:tr>
      <w:tr>
        <w:trPr>
          <w:trHeight w:val="567"/>
        </w:trPr>
        <w:tc>
          <w:tcPr>
            <w:tcW w:type="dxa" w:w="3000"/>
          </w:tcPr>
          <w:p>
            <w:r>
              <w:t>Sujet(s)</w:t>
            </w:r>
          </w:p>
        </w:tc>
        <w:tc>
          <w:tcPr>
            <w:tcW w:type="dxa" w:w="7000"/>
          </w:tcPr>
          <w:p>
            <w:r>
              <w:t xml:space="preserve">mathématique/ </w:t>
            </w:r>
          </w:p>
        </w:tc>
      </w:tr>
    </w:tbl>
    <w:p>
      <w:pPr>
        <w:pStyle w:val="Heading3"/>
      </w:pPr>
      <w:r>
        <w:t>Résumé :</w:t>
      </w:r>
    </w:p>
    <w:p>
      <w:r>
        <w:t>Les sujets traités incluent les propriétés fondamentales des espaces topologiques, métriques et normés, les axiomes de séparation, les notions de compacité, de topologie produit et de connexité. Chaque chapitre débute par un énoncé des définitions, accompagné d'exemples illustrant la question ; suivent des problèmes résolus et des problèmes supplémentaires de difficulté croissante.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