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éléments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Emsley, John/ </w:t>
            </w:r>
          </w:p>
        </w:tc>
      </w:tr>
      <w:tr>
        <w:trPr>
          <w:trHeight w:val="567"/>
        </w:trPr>
        <w:tc>
          <w:tcPr>
            <w:tcW w:type="dxa" w:w="3000"/>
          </w:tcPr>
          <w:p>
            <w:r>
              <w:t>Adresse bib.</w:t>
            </w:r>
          </w:p>
        </w:tc>
        <w:tc>
          <w:tcPr>
            <w:tcW w:type="dxa" w:w="7000"/>
          </w:tcPr>
          <w:p>
            <w:r>
              <w:t xml:space="preserve">Polytechnica/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2840540053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configuration électronique/ chimie générale/ </w:t>
            </w:r>
          </w:p>
        </w:tc>
      </w:tr>
    </w:tbl>
    <w:p>
      <w:pPr>
        <w:pStyle w:val="Heading3"/>
      </w:pPr>
      <w:r>
        <w:t>Résumé :</w:t>
      </w:r>
    </w:p>
    <w:p>
      <w:r>
        <w:t>Est une référence incontournable pour les passionnés de chimie, qu'ils soient étudiants, enseignants ou curieux du monde scientifique. Publié en 1993 par les ?ditions Polytechnica, cet ouvrage de 254 pages présente une synthèse complète des propriétés de 105 éléments 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