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Maurice-Bernard/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2840540525</w:t>
            </w:r>
          </w:p>
        </w:tc>
      </w:tr>
      <w:tr>
        <w:trPr>
          <w:trHeight w:val="567"/>
        </w:trPr>
        <w:tc>
          <w:tcPr>
            <w:tcW w:type="dxa" w:w="3000"/>
          </w:tcPr>
          <w:p>
            <w:r>
              <w:t>Sujet(s)</w:t>
            </w:r>
          </w:p>
        </w:tc>
        <w:tc>
          <w:tcPr>
            <w:tcW w:type="dxa" w:w="7000"/>
          </w:tcPr>
          <w:p>
            <w:r>
              <w:t xml:space="preserve">équilibre chimique/ complexe/ </w:t>
            </w:r>
          </w:p>
        </w:tc>
      </w:tr>
    </w:tbl>
    <w:p>
      <w:pPr>
        <w:pStyle w:val="Heading3"/>
      </w:pPr>
      <w:r>
        <w:t>Résumé :</w:t>
      </w:r>
    </w:p>
    <w:p>
      <w:r>
        <w:t>Consacré aux équilibres de complexation, aux équilibres faisant intervenir des composés peu solubles et à la présentation d'éléments de cinétique formelle, cette étude constitue une partie du cours de chimie analytique enseigné en deuxième année du cycle d'études pharmaceutiques. Il est destiné également aux BTS, IUT, Deug sciences et PCEM.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