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moléculaire et supramoléculaire des sucres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 Serge/ </w:t>
            </w:r>
          </w:p>
        </w:tc>
      </w:tr>
      <w:tr>
        <w:trPr>
          <w:trHeight w:val="567"/>
        </w:trPr>
        <w:tc>
          <w:tcPr>
            <w:tcW w:type="dxa" w:w="3000"/>
          </w:tcPr>
          <w:p>
            <w:r>
              <w:t>Adresse bib.</w:t>
            </w:r>
          </w:p>
        </w:tc>
        <w:tc>
          <w:tcPr>
            <w:tcW w:type="dxa" w:w="7000"/>
          </w:tcPr>
          <w:p>
            <w:r>
              <w:t xml:space="preserve">CNRS editions/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actuels.physique(N°:None)</w:t>
            </w:r>
          </w:p>
        </w:tc>
      </w:tr>
      <w:tr>
        <w:trPr>
          <w:trHeight w:val="567"/>
        </w:trPr>
        <w:tc>
          <w:tcPr>
            <w:tcW w:type="dxa" w:w="3000"/>
          </w:tcPr>
          <w:p>
            <w:r>
              <w:t>Notes Générales</w:t>
            </w:r>
          </w:p>
        </w:tc>
        <w:tc>
          <w:tcPr>
            <w:tcW w:type="dxa" w:w="7000"/>
          </w:tcPr>
          <w:p>
            <w:r>
              <w:t>Index p.p. 293-300</w:t>
            </w:r>
          </w:p>
        </w:tc>
      </w:tr>
      <w:tr>
        <w:trPr>
          <w:trHeight w:val="567"/>
        </w:trPr>
        <w:tc>
          <w:tcPr>
            <w:tcW w:type="dxa" w:w="3000"/>
          </w:tcPr>
          <w:p>
            <w:r>
              <w:t>Numéro d'Identification</w:t>
            </w:r>
          </w:p>
        </w:tc>
        <w:tc>
          <w:tcPr>
            <w:tcW w:type="dxa" w:w="7000"/>
          </w:tcPr>
          <w:p>
            <w:r>
              <w:t>2271052548</w:t>
            </w:r>
          </w:p>
        </w:tc>
      </w:tr>
      <w:tr>
        <w:trPr>
          <w:trHeight w:val="567"/>
        </w:trPr>
        <w:tc>
          <w:tcPr>
            <w:tcW w:type="dxa" w:w="3000"/>
          </w:tcPr>
          <w:p>
            <w:r>
              <w:t>Sujet(s)</w:t>
            </w:r>
          </w:p>
        </w:tc>
        <w:tc>
          <w:tcPr>
            <w:tcW w:type="dxa" w:w="7000"/>
          </w:tcPr>
          <w:p>
            <w:r>
              <w:t xml:space="preserve">chimie supramoléculaire/ chimie moléculaire/ </w:t>
            </w:r>
          </w:p>
        </w:tc>
      </w:tr>
    </w:tbl>
    <w:p>
      <w:pPr>
        <w:pStyle w:val="Heading3"/>
      </w:pPr>
      <w:r>
        <w:t>Résumé :</w:t>
      </w:r>
    </w:p>
    <w:p>
      <w:r>
        <w:t>De la théorie des orbitales moléculaires à l'immunologie, la chimie des sucres se bâtit à partir de contributions venant des spécialisations les plus variées. Elle s'organise autour de familles chimiques plutôt que dans les applications d'une technique particulière. Le but de cet ouvrage est de mettre en perspective les acquis de la recrerche contemporaine.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