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Dépannage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Feldman, Jonathan/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343-355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274400622X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dépannage réseau/ boîte noire/ </w:t>
            </w:r>
          </w:p>
        </w:tc>
      </w:tr>
    </w:tbl>
    <w:p>
      <w:pPr>
        <w:pStyle w:val="Heading3"/>
      </w:pPr>
      <w:r>
        <w:t>Résumé :</w:t>
      </w:r>
    </w:p>
    <w:p>
      <w:r>
        <w:t>L'auteur guide le lecteur à travers les étapes essentielles du dépannage réseau, notamment :</w:t>
        <w:br/>
        <w:br/>
        <w:t>Analyse de la configuration réseau : Comprendre la structure et les composants du réseau pour identifier les points potentiels de défaillance.</w:t>
        <w:br/>
        <w:br/>
        <w:t>-Identification des segments défectueux : Utiliser des outils et des techniques pour localiser précisément les zones problématiques au sein du réseau.</w:t>
        <w:br/>
        <w:br/>
        <w:t>-Résolution des problèmes courants : Adopter des solutions éprouvées pour traiter les dysfonctionnements fréquemment rencontrés.</w:t>
        <w:br/>
        <w:br/>
        <w:t>-Stratégies de dépannage de la boîte noire : Appliquer des méthodes d'analyse lorsque les détails internes du système ne sont pas entièrement connus ou accessibles.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