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le C++ sous turbo Borland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521-529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2212088248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en C/ borland C++/ </w:t>
            </w:r>
          </w:p>
        </w:tc>
      </w:tr>
    </w:tbl>
    <w:p>
      <w:pPr>
        <w:pStyle w:val="Heading3"/>
      </w:pPr>
      <w:r>
        <w:t>Résumé :</w:t>
      </w:r>
    </w:p>
    <w:p>
      <w:r>
        <w:t>Cet ouvrage guide le lecteur à travers les fonctionnalités du langage C conforme à la norme ANSI, tout en intégrant les extensions spécifiques des produits Borland. Les principaux thèmes abordés incluent :</w:t>
        <w:br/>
        <w:br/>
        <w:t>-Introduction au langage C : présentation des concepts fondamentaux et des particularités du langage.</w:t>
        <w:br/>
        <w:br/>
        <w:t>Utilisation de Turbo C++ et Borland C++ : guidance sur l'installation et l'utilisation de ces environnements de développement.</w:t>
        <w:br/>
        <w:br/>
        <w:t>Extensions Borland : exploration des modèles mémoire, des routines de gestion d'écran, des appels système, de la gestion de partiels, des pseudo-variables de registre, etc.</w:t>
        <w:br/>
        <w:br/>
        <w:t>-Exercices pratiques : nombreux exemples et exercices pour renforcer l'apprentissage, avec des corrigés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