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éléments 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Khennane,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9961001737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éléments finis/ </w:t>
            </w:r>
          </w:p>
        </w:tc>
      </w:tr>
    </w:tbl>
    <w:p>
      <w:pPr>
        <w:pStyle w:val="Heading3"/>
      </w:pPr>
      <w:r>
        <w:t>Résumé :</w:t>
      </w:r>
    </w:p>
    <w:p>
      <w:r>
        <w:t>Les Chapitres 7 et 8 intéressent l'aspect pratique de la méthode sa programmation et son application. deux domaines d'application,l'élasticité linéaire et le transfert de chsleur, y sont considèrés un programme en fortran.relatif à l'application de la méthode des élémrnts finis en élasticité linéaire plane, est présenté à la fin du chapitre 7.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