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 l'analyse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Khelladi, Abdelkader/ </w:t>
            </w:r>
          </w:p>
        </w:tc>
      </w:tr>
      <w:tr>
        <w:trPr>
          <w:trHeight w:val="567"/>
        </w:trPr>
        <w:tc>
          <w:tcPr>
            <w:tcW w:type="dxa" w:w="3000"/>
          </w:tcPr>
          <w:p>
            <w:r>
              <w:t>Edition</w:t>
            </w:r>
          </w:p>
        </w:tc>
        <w:tc>
          <w:tcPr>
            <w:tcW w:type="dxa" w:w="7000"/>
          </w:tcPr>
          <w:p>
            <w:r>
              <w:t>2éme édition revue et corrigée</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9789961012574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équation différentielle/ </w:t>
            </w:r>
          </w:p>
        </w:tc>
      </w:tr>
    </w:tbl>
    <w:p>
      <w:pPr>
        <w:pStyle w:val="Heading3"/>
      </w:pPr>
      <w:r>
        <w:t>Résumé :</w:t>
      </w:r>
    </w:p>
    <w:p>
      <w:r>
        <w:t>Ce titre introduit les bases de l'analyse mathématique en explorant l'intégration, le calcul des primitives, et les équations différentielles, des outils mathématiques cruciaux pour comprendre et résoudre de nombreux problèmes en sciences et en 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