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fortran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Gangloff;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Dunod technique(N°:None)</w:t>
            </w:r>
          </w:p>
        </w:tc>
      </w:tr>
      <w:tr>
        <w:trPr>
          <w:trHeight w:val="567"/>
        </w:trPr>
        <w:tc>
          <w:tcPr>
            <w:tcW w:type="dxa" w:w="3000"/>
          </w:tcPr>
          <w:p>
            <w:r>
              <w:t>Numéro d'Identification</w:t>
            </w:r>
          </w:p>
        </w:tc>
        <w:tc>
          <w:tcPr>
            <w:tcW w:type="dxa" w:w="7000"/>
          </w:tcPr>
          <w:p>
            <w:r>
              <w:t>2040133453</w:t>
            </w:r>
          </w:p>
        </w:tc>
      </w:tr>
      <w:tr>
        <w:trPr>
          <w:trHeight w:val="567"/>
        </w:trPr>
        <w:tc>
          <w:tcPr>
            <w:tcW w:type="dxa" w:w="3000"/>
          </w:tcPr>
          <w:p>
            <w:r>
              <w:t>Sujet(s)</w:t>
            </w:r>
          </w:p>
        </w:tc>
        <w:tc>
          <w:tcPr>
            <w:tcW w:type="dxa" w:w="7000"/>
          </w:tcPr>
          <w:p>
            <w:r>
              <w:t xml:space="preserve">langage de programmation/ fortran/ </w:t>
            </w:r>
          </w:p>
        </w:tc>
      </w:tr>
    </w:tbl>
    <w:p>
      <w:pPr>
        <w:pStyle w:val="Heading3"/>
      </w:pPr>
      <w:r>
        <w:t>Résumé :</w:t>
      </w:r>
    </w:p>
    <w:p>
      <w:r>
        <w:t>Cet ouvrage est un guide pratique destiné à ceux qui souhaitent apprendre et maîtriser le langage de programmation Fortran à travers une série d'exercices commentés. Il couvre les bases du langage, telles que la syntaxe, les structures de contrôle, les tableaux et les fonctions, et permet aux lecteurs de se familiariser avec ces concepts de manière progressive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