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SQL2 SQL3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Delmal; Pierre/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512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509-512</w:t>
            </w:r>
          </w:p>
        </w:tc>
      </w:tr>
      <w:tr>
        <w:trPr>
          <w:trHeight w:val="567"/>
        </w:trPr>
        <w:tc>
          <w:tcPr>
            <w:tcW w:type="dxa" w:w="3000"/>
          </w:tcPr>
          <w:p>
            <w:r>
              <w:t>Numéro d'Identification</w:t>
            </w:r>
          </w:p>
        </w:tc>
        <w:tc>
          <w:tcPr>
            <w:tcW w:type="dxa" w:w="7000"/>
          </w:tcPr>
          <w:p>
            <w:r>
              <w:t>2804135616</w:t>
            </w:r>
          </w:p>
        </w:tc>
      </w:tr>
      <w:tr>
        <w:trPr>
          <w:trHeight w:val="567"/>
        </w:trPr>
        <w:tc>
          <w:tcPr>
            <w:tcW w:type="dxa" w:w="3000"/>
          </w:tcPr>
          <w:p>
            <w:r>
              <w:t>Sujet(s)</w:t>
            </w:r>
          </w:p>
        </w:tc>
        <w:tc>
          <w:tcPr>
            <w:tcW w:type="dxa" w:w="7000"/>
          </w:tcPr>
          <w:p>
            <w:r>
              <w:t xml:space="preserve">langage de programmation (SQL)/ </w:t>
            </w:r>
          </w:p>
        </w:tc>
      </w:tr>
    </w:tbl>
    <w:p>
      <w:pPr>
        <w:pStyle w:val="Heading3"/>
      </w:pPr>
      <w:r>
        <w:t>Résumé :</w:t>
      </w:r>
    </w:p>
    <w:p>
      <w:r>
        <w:t>Cet ouvrage offre une description cohérente de la mise en oeuvre des techniques relatives aux bases de données relationnelles et objet-relationnelles dans le cadre de SQL2 et SQL3. La première partie pose les définitions du modèle relationnel. La deuxième partie est consacrée à l'étude détaillée de SQL. Le lecteur y découvrira les apports de cette norme, la manière de définir et manipuler des dates et des intervalles et la construction d'expressions complexes de sélection. Un soin particulier a été apporté à l'analyse des accès concurrents et aux niveaux d'isolation des transactions. Systématiquement présentés dans le cadre d'Oracle 8i, de nombreux exemples et exercices résolus illustrant chaque point abordé aident le lecteur dans son 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