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Bioinformatique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Deléage, Gilbert/ Gouy, Manolo Emmanuel/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193-197 Index p.p. 201-203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9782100727520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bioinformatique/ génomique/ </w:t>
            </w:r>
          </w:p>
        </w:tc>
      </w:tr>
    </w:tbl>
    <w:p>
      <w:pPr>
        <w:pStyle w:val="Heading3"/>
      </w:pPr>
      <w:r>
        <w:t>Résumé :</w:t>
      </w:r>
    </w:p>
    <w:p>
      <w:r>
        <w:t>La bioinformatique englobe plusieurs sous-domaines :</w:t>
        <w:br/>
        <w:br/>
        <w:t>-Analyse de séquences : Elle se concentre sur l'étude des séquences d'ADN, d'ARN et de protéines pour identifier des similarités, des motifs fonctionnels et des relations évolutives.</w:t>
        <w:br/>
        <w:br/>
        <w:t>-Bioinformatique structurale : Ce domaine s'intéresse à la modélisation et à la prédiction des structures tridimensionnelles des macromolécules biologiques, telles que les protéines et les acides nucléiques, afin de comprendre leurs fonctions et interactions.</w:t>
        <w:br/>
        <w:br/>
        <w:t>-Bioinformatique des réseaux : Elle analyse les interactions complexes entre gènes, protéines, cellules et autres molécules pour modéliser les réseaux biologiques et comprendre les processus cellulaires et les voies métaboliques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