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carbone renouvelable dans les systèmes alimentaires, énergétiques et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Colonna, Paul/ </w:t>
            </w:r>
          </w:p>
        </w:tc>
      </w:tr>
      <w:tr>
        <w:trPr>
          <w:trHeight w:val="567"/>
        </w:trPr>
        <w:tc>
          <w:tcPr>
            <w:tcW w:type="dxa" w:w="3000"/>
          </w:tcPr>
          <w:p>
            <w:r>
              <w:t>Adresse bib.</w:t>
            </w:r>
          </w:p>
        </w:tc>
        <w:tc>
          <w:tcPr>
            <w:tcW w:type="dxa" w:w="7000"/>
          </w:tcPr>
          <w:p>
            <w:r>
              <w:t xml:space="preserve">Collège de France/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Leçons inaugurales du Collège de France(N°:None)</w:t>
            </w:r>
          </w:p>
        </w:tc>
      </w:tr>
      <w:tr>
        <w:trPr>
          <w:trHeight w:val="567"/>
        </w:trPr>
        <w:tc>
          <w:tcPr>
            <w:tcW w:type="dxa" w:w="3000"/>
          </w:tcPr>
          <w:p>
            <w:r>
              <w:t>Numéro d'Identification</w:t>
            </w:r>
          </w:p>
        </w:tc>
        <w:tc>
          <w:tcPr>
            <w:tcW w:type="dxa" w:w="7000"/>
          </w:tcPr>
          <w:p>
            <w:r>
              <w:t>9782213669038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chimie/ biomasse aérienne/ biomasse aérienne/ </w:t>
            </w:r>
          </w:p>
        </w:tc>
      </w:tr>
    </w:tbl>
    <w:p>
      <w:pPr>
        <w:pStyle w:val="Heading3"/>
      </w:pPr>
      <w:r>
        <w:t>Résumé :</w:t>
      </w:r>
    </w:p>
    <w:p>
      <w:r>
        <w:t>Cet ouvrage aborde les défis liés à l'augmentation de la population mondiale, estimée à 9milliards d'ici 2050, et la nécessité de répondre aux besoins croissants en alimentation et en énergie tout en préservant l'environnement. L'auteur propose le développement d'une «?bio-économie?» durable, intégrant les filières alimentaires, énergétiques et chimiques. Cette approche vise à remplacer une partie du carbone d'origine fossile par du carbone d'origine biologique, produit à partir de composants de la biomasse. Cela implique la mise en place de nouveaux systèmes de production durables, favorisant la préservation de la biosphère et un bilan carbone neutre. Le livre souligne également l'importance des biotechnologies dans cette transition vers une économie plus respectueuse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