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Maîtriser dBaseIV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Delannoy,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331-334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dBase/ bases de donnée/ </w:t>
            </w:r>
          </w:p>
        </w:tc>
      </w:tr>
    </w:tbl>
    <w:p>
      <w:pPr>
        <w:pStyle w:val="Heading3"/>
      </w:pPr>
      <w:r>
        <w:t>Résumé :</w:t>
      </w:r>
    </w:p>
    <w:p>
      <w:r>
        <w:t>Cet ouvrage approfondit l'ensemble des fonctionnalités interactives offertes par dBASE IV, permettant aux utilisateurs de comprendre et d'exploiter pleinement ses capacités pour la gestion efficace des bases de données.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