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spéciales.T1, 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Gostiaux,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2130487270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mahtématique spéciale/ </w:t>
            </w:r>
          </w:p>
        </w:tc>
      </w:tr>
    </w:tbl>
    <w:p>
      <w:pPr>
        <w:pStyle w:val="Heading3"/>
      </w:pPr>
      <w:r>
        <w:t>Résumé :</w:t>
      </w:r>
    </w:p>
    <w:p>
      <w:r>
        <w:t>Comment organiser rationnellement la recherche de la solution d'un problème ? Une méthode de travail à l'usage des candidats aux concours de grandes écoles.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