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mathématiques spéciales.T3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Gostiaux,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PUF/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2130487297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</w:t>
            </w:r>
          </w:p>
        </w:tc>
      </w:tr>
    </w:tbl>
    <w:p>
      <w:pPr>
        <w:pStyle w:val="Heading3"/>
      </w:pPr>
      <w:r>
        <w:t>Résumé :</w:t>
      </w:r>
    </w:p>
    <w:p>
      <w:r>
        <w:t>A l'usage des candidats aux concours de grandes écoles, l'auteur privilégie l'étude de questions ou la géométrie analytique nécessite l'étude du mode de représentation et du choix du repère.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