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 différentielle et mécanique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Godbillon;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183 p.</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Numéro d'Identification</w:t>
            </w:r>
          </w:p>
        </w:tc>
        <w:tc>
          <w:tcPr>
            <w:tcW w:type="dxa" w:w="7000"/>
          </w:tcPr>
          <w:p>
            <w:r>
              <w:t>2705656588</w:t>
            </w:r>
          </w:p>
        </w:tc>
      </w:tr>
      <w:tr>
        <w:trPr>
          <w:trHeight w:val="567"/>
        </w:trPr>
        <w:tc>
          <w:tcPr>
            <w:tcW w:type="dxa" w:w="3000"/>
          </w:tcPr>
          <w:p>
            <w:r>
              <w:t>Sujet(s)</w:t>
            </w:r>
          </w:p>
        </w:tc>
        <w:tc>
          <w:tcPr>
            <w:tcW w:type="dxa" w:w="7000"/>
          </w:tcPr>
          <w:p>
            <w:r>
              <w:t xml:space="preserve">mécanique analytique/ géométrie différentielle/ </w:t>
            </w:r>
          </w:p>
        </w:tc>
      </w:tr>
    </w:tbl>
    <w:p>
      <w:pPr>
        <w:pStyle w:val="Heading3"/>
      </w:pPr>
      <w:r>
        <w:t>Résumé :</w:t>
      </w:r>
    </w:p>
    <w:p>
      <w:r>
        <w:t>Les leçons d'élie Cartan surles invariants intégraux, qui gardent encoreune étonnante actualité, marquent les débuts de ce qu'on peut appeler lamécanique analytique moderne :yapparaissenten effet pourlapremière fois des formulationsintrinsèques, et nonvariationnelles, des équations de la dynamique. Plus récemment les travaux de MM. A. Lichnérowicz,F. Gallissot,J. Klein, ont clairement mis en évidence que la géométrie différentielle était le cadre naturel où se situaient les fondements de la mécanique analytique.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