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et raisonnement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Freund; Michael/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9782729865481</w:t>
            </w:r>
          </w:p>
        </w:tc>
      </w:tr>
      <w:tr>
        <w:trPr>
          <w:trHeight w:val="567"/>
        </w:trPr>
        <w:tc>
          <w:tcPr>
            <w:tcW w:type="dxa" w:w="3000"/>
          </w:tcPr>
          <w:p>
            <w:r>
              <w:t>Sujet(s)</w:t>
            </w:r>
          </w:p>
        </w:tc>
        <w:tc>
          <w:tcPr>
            <w:tcW w:type="dxa" w:w="7000"/>
          </w:tcPr>
          <w:p>
            <w:r>
              <w:t xml:space="preserve">raisonnement/ logique (mathématique)/ </w:t>
            </w:r>
          </w:p>
        </w:tc>
      </w:tr>
    </w:tbl>
    <w:p>
      <w:pPr>
        <w:pStyle w:val="Heading3"/>
      </w:pPr>
      <w:r>
        <w:t>Résumé :</w:t>
      </w:r>
    </w:p>
    <w:p>
      <w:r>
        <w:t>Fait le lien entre logique et raisonnement, analyse les erreurs classiques et explique avec des raisonnements courants les notions de preuve et de déduction. Des exercices corrigés permettent de maitriser les notions de base ayant trait à la syntaxe, la sémantique et la théorie de la preuve.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