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d'analyse.T6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Dieudonné, Jean/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Cahiers scientifiques(N°:None)</w:t>
            </w:r>
          </w:p>
        </w:tc>
      </w:tr>
      <w:tr>
        <w:trPr>
          <w:trHeight w:val="567"/>
        </w:trPr>
        <w:tc>
          <w:tcPr>
            <w:tcW w:type="dxa" w:w="3000"/>
          </w:tcPr>
          <w:p>
            <w:r>
              <w:t>Notes Générales</w:t>
            </w:r>
          </w:p>
        </w:tc>
        <w:tc>
          <w:tcPr>
            <w:tcW w:type="dxa" w:w="7000"/>
          </w:tcPr>
          <w:p>
            <w:r>
              <w:t>Bibliogr. p.p. 191-193. Index</w:t>
            </w:r>
          </w:p>
        </w:tc>
      </w:tr>
      <w:tr>
        <w:trPr>
          <w:trHeight w:val="567"/>
        </w:trPr>
        <w:tc>
          <w:tcPr>
            <w:tcW w:type="dxa" w:w="3000"/>
          </w:tcPr>
          <w:p>
            <w:r>
              <w:t>Numéro d'Identification</w:t>
            </w:r>
          </w:p>
        </w:tc>
        <w:tc>
          <w:tcPr>
            <w:tcW w:type="dxa" w:w="7000"/>
          </w:tcPr>
          <w:p>
            <w:r>
              <w:t>2040011277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On entend de nos jours par Analyse harmonique (commutative) la généralisation aux groupes commutatifs localement compacts de la théorie classique des séries et intégrales de Fourier, qui correspondent au cas des groupes Rn, Tn et Zn. Bien que, dans la suite de ce Traité, ce soit cette théorie classique qui est presque constamment utilisée, notamment comme outil fondamental dans la théorie des équations linéaires aux dérivées partielles (chap XXIII), la théorie générale de l'Analyse harmonique a aujourd'hui tant d'autres applications, notamment en Arithmétique, qu'il serait contraire à l'esprit des mathématiques de notre temps de se borner au cadre classique de la théorie de Fourier, qui masque la nature des idées essentielles dominant l'Analyse harmonique, comme celle de convolution ou celle de fonction de type positif.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