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Comninellis, Christos/ Sahil, Araksi/ Friedli, Claude K.W/ </w:t>
            </w:r>
          </w:p>
        </w:tc>
      </w:tr>
      <w:tr>
        <w:trPr>
          <w:trHeight w:val="567"/>
        </w:trPr>
        <w:tc>
          <w:tcPr>
            <w:tcW w:type="dxa" w:w="3000"/>
          </w:tcPr>
          <w:p>
            <w:r>
              <w:t>Edition</w:t>
            </w:r>
          </w:p>
        </w:tc>
        <w:tc>
          <w:tcPr>
            <w:tcW w:type="dxa" w:w="7000"/>
          </w:tcPr>
          <w:p>
            <w:r>
              <w:t>2 éme éd.rev.et corr.</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9782880748036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chimie générale/ </w:t>
            </w:r>
          </w:p>
        </w:tc>
      </w:tr>
    </w:tbl>
    <w:p>
      <w:pPr>
        <w:pStyle w:val="Heading3"/>
      </w:pPr>
      <w:r>
        <w:t>Résumé :</w:t>
      </w:r>
    </w:p>
    <w:p>
      <w:r>
        <w:t>Cet ouvrage Destiné aux élèves ingénieurs et étudiants en chimie de premier cycle universitaire, ce livre contient près de 400 exercices. Plus d'un tiers d'entre eux sont accompagnés d'une stratégie de résolution et de leur solution, tous les autres sont complétés de leur réponse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