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des produits chimiques au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Bernier; S./ Aubert; M.H./ Brendel; A... [et al.]/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CNRS/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9782100780815</w:t>
            </w:r>
          </w:p>
        </w:tc>
      </w:tr>
      <w:tr>
        <w:trPr>
          <w:trHeight w:val="567"/>
        </w:trPr>
        <w:tc>
          <w:tcPr>
            <w:tcW w:type="dxa" w:w="3000"/>
          </w:tcPr>
          <w:p>
            <w:r>
              <w:t>Sujet(s)</w:t>
            </w:r>
          </w:p>
        </w:tc>
        <w:tc>
          <w:tcPr>
            <w:tcW w:type="dxa" w:w="7000"/>
          </w:tcPr>
          <w:p>
            <w:r>
              <w:t xml:space="preserve">produit chimique/ mesures de sécurité/ </w:t>
            </w:r>
          </w:p>
        </w:tc>
      </w:tr>
    </w:tbl>
    <w:p>
      <w:pPr>
        <w:pStyle w:val="Heading3"/>
      </w:pPr>
      <w:r>
        <w:t>Résumé :</w:t>
      </w:r>
    </w:p>
    <w:p>
      <w:r>
        <w:t>Le règlement européen CLP (Classification, Labelling and Packaging) a été publié le 31 décembre 2008 au Journal officiel de l'Union européenne. Ce texte organisait l'application en Europe du Système général harmonisé (SGH) de classification et d'étiquetage des produits chimiques. Dès 2009, les opérateurs ont vu apparaître de nouvelles étiquettes, avec notamment de nouveaux pictogrammes et des mentions de danger en remplacement des symboles et des phrases de risque mais l'ancien et le nouveau système coexistaient.les fiches synthétiques sur plus d'une centaine de produits utilisés couramment en laboratoire, en présentant toutes les informations utiles à leur manipulation et à leur stockage (toxicité, incompatibilités, protection, élimination, feu, etc.). Cette troisième édition met à jour le nouvel etiquetage prochainement obligatoire.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