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finis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Ern; Alexandre/ Grégoriadès, Jean-Luc/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430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Mathématiques [et] applications(N°:36)</w:t>
            </w:r>
          </w:p>
        </w:tc>
      </w:tr>
      <w:tr>
        <w:trPr>
          <w:trHeight w:val="567"/>
        </w:trPr>
        <w:tc>
          <w:tcPr>
            <w:tcW w:type="dxa" w:w="3000"/>
          </w:tcPr>
          <w:p>
            <w:r>
              <w:t>Numéro d'Identification</w:t>
            </w:r>
          </w:p>
        </w:tc>
        <w:tc>
          <w:tcPr>
            <w:tcW w:type="dxa" w:w="7000"/>
          </w:tcPr>
          <w:p>
            <w:r>
              <w:t>3540426159</w:t>
            </w:r>
          </w:p>
        </w:tc>
      </w:tr>
      <w:tr>
        <w:trPr>
          <w:trHeight w:val="567"/>
        </w:trPr>
        <w:tc>
          <w:tcPr>
            <w:tcW w:type="dxa" w:w="3000"/>
          </w:tcPr>
          <w:p>
            <w:r>
              <w:t>Sujet(s)</w:t>
            </w:r>
          </w:p>
        </w:tc>
        <w:tc>
          <w:tcPr>
            <w:tcW w:type="dxa" w:w="7000"/>
          </w:tcPr>
          <w:p>
            <w:r>
              <w:t xml:space="preserve">algébre/ </w:t>
            </w:r>
          </w:p>
        </w:tc>
      </w:tr>
    </w:tbl>
    <w:p>
      <w:pPr>
        <w:pStyle w:val="Heading3"/>
      </w:pPr>
      <w:r>
        <w:t>Résumé :</w:t>
      </w:r>
    </w:p>
    <w:p>
      <w:r>
        <w:t>Ces notes de cours (Ecole nationale des ponts et chaussées, DEA de mécanique de Paris VI) présentent la méthode des éléments finis dans un cadre mathématique rigoureux. En accordant une place fondamentale aux conditions inf-sup, elles s'affranchissent du cadre réducteur Lax-Milgram/Galerkin standard.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