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Grégoriadès, Jean-Luc/ Ern, Alexandre/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[et] applications(N°:36)</w:t>
            </w:r>
          </w:p>
        </w:tc>
      </w:tr>
      <w:tr>
        <w:trPr>
          <w:trHeight w:val="567"/>
        </w:trPr>
        <w:tc>
          <w:tcPr>
            <w:tcW w:type="dxa" w:w="3000"/>
          </w:tcPr>
          <w:p>
            <w:r>
              <w:t>Numéro d'Identification</w:t>
            </w:r>
          </w:p>
        </w:tc>
        <w:tc>
          <w:tcPr>
            <w:tcW w:type="dxa" w:w="7000"/>
          </w:tcPr>
          <w:p>
            <w:r>
              <w:t>3540426159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Ces notes de cours (Ecole nationale des ponts et chaussées, DEA de mécanique de Paris VI) présentent la méthode des éléments finis dans un cadre mathématique rigoureux. En accordant une place fondamentale aux conditions inf-sup, elles s'affranchissent du cadre réducteur Lax-Milgram/Galerkin standard.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