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Huet; Mlle D./ Julia; M.G./ Dieudonné, Jean/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Cahiers scientifiques(N°:28)</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moderne/ </w:t>
            </w:r>
          </w:p>
        </w:tc>
      </w:tr>
    </w:tbl>
    <w:p>
      <w:pPr>
        <w:pStyle w:val="Heading3"/>
      </w:pPr>
      <w:r>
        <w:t>Résumé :</w:t>
      </w:r>
    </w:p>
    <w:p>
      <w:r>
        <w:t>Le premier volume de ce Traité a pour but d'exposer de la manière la plus simple les notions élémentaires sur lesquelles repose toute l'Analyse moderne : calcul booléien, nombres réels, espaces métriques et espaces de Banach, calcul différentiel, fonctions analytiques. Sur cette base, les volumes suivants développent, d'une part ce qu'on peut appeler "l'Analyse sur les espaces vectoriels" (chapitres XIII à XV, XXII et XXIII), de l'autre "l'Analyse globale" ou "Analyse sur les variétés" (chap. XVI à XXI et XXIV), non sans interactions réciproques, bien entendu. La conception qui domine ce volume a été de reporter aux volumes suivants toutes les notions secondaires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