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Djadane, A./ Sadallah, B.K./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L'ouvrage est structuré en deux parties principales :Rappel détaillé des principaux résultats sur le calcul différentiel : Cette section offre une révision approfondie des concepts fondamentaux du calcul différentiel, servant de base solide pour les exercices suivants.</w:t>
        <w:br/>
        <w:br/>
        <w:br/>
        <w:br/>
        <w:t>Exercices pratiques avec solutions détaillées : La deuxième partie propose une centaine d'exercices couvrant divers thèmes tels que les espaces vectoriels normés, les différentielles, les théorèmes de la moyenne, l'inversion, les fonctions implicites et les extrema (libres et liés). Chaque exercice est suivi d'une solution détaillée, facilitant la compréhension et l'application des concepts étudiés.</w:t>
        <w:br/>
        <w:br/>
        <w:br/>
        <w:br/>
        <w:t>Rappel détaillé des principaux résultats sur le calcul différentiel : Cette section offre une révision approfondie des concepts fondamentaux du calcul différentiel, servant de base solide pour les exercices suivants.</w:t>
        <w:br/>
        <w:br/>
        <w:br/>
        <w:br/>
        <w:t>Exercices pratiques avec solutions détaillées : La deuxième partie propose une centaine d'exercices couvrant divers thèmes tels que les espaces vectoriels normés, les différentielles, les théorèmes de la moyenne, l'inversion, les fonctions implicites et les extrema (libres et liés). Chaque exercice est suivi d'une solution détaillée, facilitant la compréhension et l'application des concepts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