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approfondir la chimie.T4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Baharmast; B./ J. Bouteillon/ R. Barlet/ Roger; Barlet/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185p.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Annexe p.p. 183-186</w:t>
            </w:r>
          </w:p>
        </w:tc>
      </w:tr>
      <w:tr>
        <w:trPr>
          <w:trHeight w:val="567"/>
        </w:trPr>
        <w:tc>
          <w:tcPr>
            <w:tcW w:type="dxa" w:w="3000"/>
          </w:tcPr>
          <w:p>
            <w:r>
              <w:t>Numéro d'Identification</w:t>
            </w:r>
          </w:p>
        </w:tc>
        <w:tc>
          <w:tcPr>
            <w:tcW w:type="dxa" w:w="7000"/>
          </w:tcPr>
          <w:p>
            <w:r>
              <w:t>2100031635</w:t>
            </w:r>
          </w:p>
        </w:tc>
      </w:tr>
      <w:tr>
        <w:trPr>
          <w:trHeight w:val="567"/>
        </w:trPr>
        <w:tc>
          <w:tcPr>
            <w:tcW w:type="dxa" w:w="3000"/>
          </w:tcPr>
          <w:p>
            <w:r>
              <w:t>Sujet(s)</w:t>
            </w:r>
          </w:p>
        </w:tc>
        <w:tc>
          <w:tcPr>
            <w:tcW w:type="dxa" w:w="7000"/>
          </w:tcPr>
          <w:p>
            <w:r>
              <w:t xml:space="preserve">équilibre chimique/ </w:t>
            </w:r>
          </w:p>
        </w:tc>
      </w:tr>
    </w:tbl>
    <w:p>
      <w:pPr>
        <w:pStyle w:val="Heading3"/>
      </w:pPr>
      <w:r>
        <w:t>Résumé :</w:t>
      </w:r>
    </w:p>
    <w:p>
      <w:r>
        <w:t>L'objectif de ce volume est de fournir les outils nécessaires à la compréhension des concepts de base dans ce domaine privilégié de la chimie : approche qualitative et signification des phénomènes, modes de raisonnement, méthodologie de résolution des problèmes quantitatifs, force relative des couples. Cette compréhension est fondamentale pour permettre la prise en charge des difficultés d'apprentissage des étudiants dans un domaine où s'exprime avec force le divorce entre le macroscopique et le microscopique : à l'équilibre plus rien ne se modifie à notre échelle d'observation alors même que la dynamique moléculaire se poursuit toujours.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