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microchimie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Cheymol; Nicolas/ Hoff; Michaël/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2804123324</w:t>
            </w:r>
          </w:p>
        </w:tc>
      </w:tr>
      <w:tr>
        <w:trPr>
          <w:trHeight w:val="567"/>
        </w:trPr>
        <w:tc>
          <w:tcPr>
            <w:tcW w:type="dxa" w:w="3000"/>
          </w:tcPr>
          <w:p>
            <w:r>
              <w:t>Sujet(s)</w:t>
            </w:r>
          </w:p>
        </w:tc>
        <w:tc>
          <w:tcPr>
            <w:tcW w:type="dxa" w:w="7000"/>
          </w:tcPr>
          <w:p>
            <w:r>
              <w:t xml:space="preserve">microchimie/ </w:t>
            </w:r>
          </w:p>
        </w:tc>
      </w:tr>
    </w:tbl>
    <w:p>
      <w:pPr>
        <w:pStyle w:val="Heading3"/>
      </w:pPr>
      <w:r>
        <w:t>Résumé :</w:t>
      </w:r>
    </w:p>
    <w:p>
      <w:r>
        <w:t>Présente, à l'aide d'expériences de chimie générale, inorganique et organique, une introduction aux techniques de la microchimie, exploitable lors de la formation pratique des étudiants en chimie, au niveau secondaire et premières années d'études supérieures.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