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Images de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 p.p. 293-302. Index 309-316</w:t>
            </w:r>
          </w:p>
        </w:tc>
      </w:tr>
      <w:tr>
        <w:trPr>
          <w:trHeight w:val="567"/>
        </w:trPr>
        <w:tc>
          <w:tcPr>
            <w:tcW w:type="dxa" w:w="3000"/>
          </w:tcPr>
          <w:p>
            <w:r>
              <w:t>Numéro d'Identification</w:t>
            </w:r>
          </w:p>
        </w:tc>
        <w:tc>
          <w:tcPr>
            <w:tcW w:type="dxa" w:w="7000"/>
          </w:tcPr>
          <w:p>
            <w:r>
              <w:t>2040169997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infographie/ </w:t>
            </w:r>
          </w:p>
        </w:tc>
      </w:tr>
    </w:tbl>
    <w:p>
      <w:pPr>
        <w:pStyle w:val="Heading3"/>
      </w:pPr>
      <w:r>
        <w:t>Résumé :</w:t>
      </w:r>
    </w:p>
    <w:p>
      <w:r>
        <w:t>Ce livre va vous fournir les solutions à vos problèmes quotidiens.</w:t>
        <w:br/>
        <w:br/>
        <w:br/>
        <w:br/>
        <w:t>La première partie concerne le maniement des trois programmes complémentaires en retouche d'image : Photoshop, ImageReady et Fireworks. Ne comptez pas trouver un mode d'emploi rébarbatif et ennuyeux ! Notre approche est beaucoup plus dynamique ! Les logiciels sont abordés selon leurs complémentarités et leurs différentes facettes, comme la gestion de la couleur ou du mode vectoriel. Les informations plus techniques sont ensuite introduites au fur et à mesure que le besoin s'en fait sentir, puis insérées dans l'aspect alors abordé.</w:t>
        <w:br/>
        <w:br/>
        <w:t>Cette approche, aussi claire que concrète, vous permettra de comprendre la logique de fonctionnement de ces logiciels. Vous intégrerez ainsi plus facilement leur manipulation de base, laissant ensuite le champ libre à votre productivité et à votre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