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Marroco, Claudio/ Lachapelle, Alain/ Després, Daniel/ Hart, Harold/ Craine, Leslie E/ Hadad, Christopher M/ Girouard, Stéphane/ Lapierre, Danielle/ </w:t>
            </w:r>
          </w:p>
        </w:tc>
      </w:tr>
      <w:tr>
        <w:trPr>
          <w:trHeight w:val="567"/>
        </w:trPr>
        <w:tc>
          <w:tcPr>
            <w:tcW w:type="dxa" w:w="3000"/>
          </w:tcPr>
          <w:p>
            <w:r>
              <w:t>Edition</w:t>
            </w:r>
          </w:p>
        </w:tc>
        <w:tc>
          <w:tcPr>
            <w:tcW w:type="dxa" w:w="7000"/>
          </w:tcPr>
          <w:p>
            <w:r>
              <w:t>12eme éd.</w:t>
            </w:r>
          </w:p>
        </w:tc>
      </w:tr>
      <w:tr>
        <w:trPr>
          <w:trHeight w:val="567"/>
        </w:trPr>
        <w:tc>
          <w:tcPr>
            <w:tcW w:type="dxa" w:w="3000"/>
          </w:tcPr>
          <w:p>
            <w:r>
              <w:t>Adresse bib.</w:t>
            </w:r>
          </w:p>
        </w:tc>
        <w:tc>
          <w:tcPr>
            <w:tcW w:type="dxa" w:w="7000"/>
          </w:tcPr>
          <w:p>
            <w:r>
              <w:t xml:space="preserve">Dunod/ Chenelière Education/ </w:t>
            </w:r>
          </w:p>
        </w:tc>
      </w:tr>
      <w:tr>
        <w:trPr>
          <w:trHeight w:val="567"/>
        </w:trPr>
        <w:tc>
          <w:tcPr>
            <w:tcW w:type="dxa" w:w="3000"/>
          </w:tcPr>
          <w:p>
            <w:r>
              <w:t>Nombre de Pages</w:t>
            </w:r>
          </w:p>
        </w:tc>
        <w:tc>
          <w:tcPr>
            <w:tcW w:type="dxa" w:w="7000"/>
          </w:tcPr>
          <w:p>
            <w:r>
              <w:t>472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451-478</w:t>
            </w:r>
          </w:p>
        </w:tc>
      </w:tr>
      <w:tr>
        <w:trPr>
          <w:trHeight w:val="567"/>
        </w:trPr>
        <w:tc>
          <w:tcPr>
            <w:tcW w:type="dxa" w:w="3000"/>
          </w:tcPr>
          <w:p>
            <w:r>
              <w:t>Numéro d'Identification</w:t>
            </w:r>
          </w:p>
        </w:tc>
        <w:tc>
          <w:tcPr>
            <w:tcW w:type="dxa" w:w="7000"/>
          </w:tcPr>
          <w:p>
            <w:r>
              <w:t>9782100519842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isomérie/ </w:t>
            </w:r>
          </w:p>
        </w:tc>
      </w:tr>
    </w:tbl>
    <w:p>
      <w:pPr>
        <w:pStyle w:val="Heading3"/>
      </w:pPr>
      <w:r>
        <w:t>Résumé :</w:t>
      </w:r>
    </w:p>
    <w:p>
      <w:r>
        <w:t>Cet ensemble de deux ouvrages, tout en couleur, constitue un cours très complet sur la chimie organique. Ce manuel est aussi une passerelle vers la biochimie, car il fournit les bases indispensables pour comprendre et interpréter les mécanismes des réactions. Ce tome 1 est une introduction à la chimie organique avec un rappel des bases que l'étudiant doit parfaitement assimiler. Le cours est donc très pédagogique avec une utilisation de la couleur pour visualiser les sites et les processus de réaction. Il s'appuit sur de nombreux exemples, très souvent tirés de la vie quotidienne, et des 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