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Dosseh, Gilberte/ Fuchs, Alain/ Boutin, Anne/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Bibliogr. p.p. 195-202. Index p.p. 203-206</w:t>
            </w:r>
          </w:p>
        </w:tc>
      </w:tr>
      <w:tr>
        <w:trPr>
          <w:trHeight w:val="567"/>
        </w:trPr>
        <w:tc>
          <w:tcPr>
            <w:tcW w:type="dxa" w:w="3000"/>
          </w:tcPr>
          <w:p>
            <w:r>
              <w:t>Numéro d'Identification</w:t>
            </w:r>
          </w:p>
        </w:tc>
        <w:tc>
          <w:tcPr>
            <w:tcW w:type="dxa" w:w="7000"/>
          </w:tcPr>
          <w:p>
            <w:r>
              <w:t>2225830436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thermochimie/ fugacité/ </w:t>
            </w:r>
          </w:p>
        </w:tc>
      </w:tr>
    </w:tbl>
    <w:p>
      <w:pPr>
        <w:pStyle w:val="Heading3"/>
      </w:pPr>
      <w:r>
        <w:t>Résumé :</w:t>
      </w:r>
    </w:p>
    <w:p>
      <w:r>
        <w:t>Cet ouvrage est de combler le fossé entre la thermodynamique classique (macroscopique) et la thermodynamique statistique (microscopique). L'ouvrage se distingue par sa rigueur mathématique tout en restant très ancré dans la réalité physique et chimique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