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méthode des éléments 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Eric, Luneville/ Ciarlet, Patrick/ </w:t>
            </w:r>
          </w:p>
        </w:tc>
      </w:tr>
      <w:tr>
        <w:trPr>
          <w:trHeight w:val="567"/>
        </w:trPr>
        <w:tc>
          <w:tcPr>
            <w:tcW w:type="dxa" w:w="3000"/>
          </w:tcPr>
          <w:p>
            <w:r>
              <w:t>Adresse bib.</w:t>
            </w:r>
          </w:p>
        </w:tc>
        <w:tc>
          <w:tcPr>
            <w:tcW w:type="dxa" w:w="7000"/>
          </w:tcPr>
          <w:p>
            <w:r>
              <w:t xml:space="preserve">ENSTA/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Les cours(N°:None)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9782722509177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élément fini/ </w:t>
            </w:r>
          </w:p>
        </w:tc>
      </w:tr>
    </w:tbl>
    <w:p>
      <w:pPr>
        <w:pStyle w:val="Heading3"/>
      </w:pPr>
      <w:r>
        <w:t>Résumé :</w:t>
      </w:r>
    </w:p>
    <w:p>
      <w:r>
        <w:t>La méthode des éléments finis est présente dans divers domaines d'application, mécanique, physique, chimie, économie, finance et biologie. Présente les fondements théoriques, la mise en oeuvre, les algorithmes et des illustrations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