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 Anne/ Marle, Charles-Michel/ Christol,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le 2e cycle(N°:None)</w:t>
            </w:r>
          </w:p>
        </w:tc>
      </w:tr>
      <w:tr>
        <w:trPr>
          <w:trHeight w:val="567"/>
        </w:trPr>
        <w:tc>
          <w:tcPr>
            <w:tcW w:type="dxa" w:w="3000"/>
          </w:tcPr>
          <w:p>
            <w:r>
              <w:t>Numéro d'Identification</w:t>
            </w:r>
          </w:p>
        </w:tc>
        <w:tc>
          <w:tcPr>
            <w:tcW w:type="dxa" w:w="7000"/>
          </w:tcPr>
          <w:p>
            <w:r>
              <w:t>2729867511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Le calcul différentiel analyse les variations d'une fonction par rapport à ses variables, principalement à travers la notion de dérivée. La dérivée d'une fonction à un point représente le taux de variation instantané de cette fonction à ce point. Cela permet de déterminer des propriétés comme la pente de la tangente à une courbe, de résoudre des problèmes d'optimisation, et d'étudier les comportements locaux des fonctions. La base du calcul différentiel repose sur les concepts de limites et de continuité, et se développe à travers des théorèmes fondamentaux comme le théorème des accroissements finis et le théorème de Rolle.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