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Maths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Crocy, Philippe/ De Brauwère, Erick/ Chomette, Thomas/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831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20 cm</w:t>
            </w:r>
          </w:p>
        </w:tc>
      </w:tr>
      <w:tr>
        <w:trPr>
          <w:trHeight w:val="567"/>
        </w:trPr>
        <w:tc>
          <w:tcPr>
            <w:tcW w:type="dxa" w:w="3000"/>
          </w:tcPr>
          <w:p>
            <w:r>
              <w:t>Collection</w:t>
            </w:r>
          </w:p>
        </w:tc>
        <w:tc>
          <w:tcPr>
            <w:tcW w:type="dxa" w:w="7000"/>
          </w:tcPr>
          <w:p>
            <w:r>
              <w:t>Compétences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classes préparatoires PCSI et PTSI sont des formations intensives en mathématiques, physique et sciences de l'ingénieur, destinées aux étudiants souhaitant intégrer des écoles d'ingénieurs. Le programme de mathématiques de la PCSI couvre des domaines tels que l'analyse, l'algèbre, la géométrie, la logique, la topologie, l'arithmétique, le dénombrement et les probabilités. La PTSI, quant à elle, propose un programme similaire avec une orientation vers les sciences de l'ingénieur, incluant des matières comme l'automatique, la cinématique, la statique, la dynamique, la logique combinatoire et le SysML. Ces programmes sont conçus pour fournir aux étudiants une base solide en mathématiques et en sciences, leur permettant de réussir les concours d'entrée aux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