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d'analyse.T1, Analyse vectorielle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Chatterji, Shrishti Dhar/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Mathématiques(N°:None)</w:t>
            </w:r>
          </w:p>
        </w:tc>
      </w:tr>
      <w:tr>
        <w:trPr>
          <w:trHeight w:val="567"/>
        </w:trPr>
        <w:tc>
          <w:tcPr>
            <w:tcW w:type="dxa" w:w="3000"/>
          </w:tcPr>
          <w:p>
            <w:r>
              <w:t>Numéro d'Identification</w:t>
            </w:r>
          </w:p>
        </w:tc>
        <w:tc>
          <w:tcPr>
            <w:tcW w:type="dxa" w:w="7000"/>
          </w:tcPr>
          <w:p>
            <w:r>
              <w:t>2880743141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vectorielle/ </w:t>
            </w:r>
          </w:p>
        </w:tc>
      </w:tr>
    </w:tbl>
    <w:p>
      <w:pPr>
        <w:pStyle w:val="Heading3"/>
      </w:pPr>
      <w:r>
        <w:t>Résumé :</w:t>
      </w:r>
    </w:p>
    <w:p>
      <w:r>
        <w:t>Présente l'analyse vectorielle (champs vectoriels et formes différentielles) et l'analyse complexe, contenant la théorie classique des fonctions holomorphes d'une variable complexe et le théorème de Cauchy. Classes prépas et premier cycle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