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Chambadal,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XVI-520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</w:t>
            </w:r>
          </w:p>
        </w:tc>
      </w:tr>
    </w:tbl>
    <w:p>
      <w:pPr>
        <w:pStyle w:val="Heading3"/>
      </w:pPr>
      <w:r>
        <w:t>Résumé :</w:t>
      </w:r>
    </w:p>
    <w:p>
      <w:r>
        <w:t>La présentation adoptée est conforme à l'enseignement actuel des mathématiques et du calcul des probabilité. de multiples exemples, souvent numériques, accompagnent les notions introduites et les principaux résultats, en outre, de nombreux exercices sont proposés à la fin de chaque chapitre, des tables statistiques et un index des sujets complétent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