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Arnaud,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p.p. 532-537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2100032097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physique/ deuxième principe/ deuxième principe/ </w:t>
            </w:r>
          </w:p>
        </w:tc>
      </w:tr>
    </w:tbl>
    <w:p>
      <w:pPr>
        <w:pStyle w:val="Heading3"/>
      </w:pPr>
      <w:r>
        <w:t>Résumé :</w:t>
      </w:r>
    </w:p>
    <w:p>
      <w:r>
        <w:t>Ce cours traite de la structure de la matière (atome, liaison, états de la matière), de la cinétique et de la thermodynamique chimiques. Il comporte également une introduction à la chimie nucléaire. Son niveau est celui des premières années de l'enseignement supérieur (DEUG, DUT, PCEM, Pharmacie, BTS, Classes préparatoires) : il peut être utile également aux candidats au CAPES de Sciences physiques.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