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Numéro d'Identification</w:t>
            </w:r>
          </w:p>
        </w:tc>
        <w:tc>
          <w:tcPr>
            <w:tcW w:type="dxa" w:w="7000"/>
          </w:tcPr>
          <w:p>
            <w:r>
              <w:t>2100070940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chimie organique/ </w:t>
            </w:r>
          </w:p>
        </w:tc>
      </w:tr>
    </w:tbl>
    <w:p>
      <w:pPr>
        <w:pStyle w:val="Heading3"/>
      </w:pPr>
      <w:r>
        <w:t>Résumé :</w:t>
      </w:r>
    </w:p>
    <w:p>
      <w:r>
        <w:t>Ce recueil d'exercices résolus couvre les bases de la chimie organique: structure des molécules, isomérie, stéréochimie, mécanismes réactionnels, fonctions simples, principales fonctions multiples et mixtes. Il constitue un complément naturel au cours de Chimie organique du même auteur, mais il peut être utilisé indépendamment de celui-ci. Objectifs: • Consolider et approfondir les connaissances acquises en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