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Espaces vectoriels, applications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Colin, Jean-Jacques/ Malbec,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Bien débuter en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9782854289596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espace vectoriel/ </w:t>
            </w:r>
          </w:p>
        </w:tc>
      </w:tr>
    </w:tbl>
    <w:p>
      <w:pPr>
        <w:pStyle w:val="Heading3"/>
      </w:pPr>
      <w:r>
        <w:t>Résumé :</w:t>
      </w:r>
    </w:p>
    <w:p>
      <w:r>
        <w:t>Aborde les notions d'algèbre linéaire telles que les sous-espaces vectoriels, les parties libres ou génératrices, les espaces vectoriels de dimension finie. Chaque chapitre contient un rappel de cours et des exercices avec leurs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